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88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50"/>
          <w:szCs w:val="50"/>
          <w:rtl w:val="0"/>
        </w:rPr>
        <w:t xml:space="preserve">2026 E-bike Parts 全球独立站营销与执行方案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1.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方案概述与输入资料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本方案旨在为 E-bike 核心零部件（电池、电机、控制器等）构建 “B2B + B2C” 双线并行的全球营销体系。基于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飞书公开资料</w:t>
        </w:r>
      </w:hyperlink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与多维度市场调研数据，方案覆盖东南亚、欧美、俄罗斯及澳洲四大重点区域，确保从流量获取到合规交付的全链路闭环。</w:t>
      </w:r>
      <w:r w:rsidDel="00000000" w:rsidR="00000000" w:rsidRPr="00000000">
        <w:rPr>
          <w:rtl w:val="0"/>
        </w:rPr>
      </w:r>
    </w:p>
    <w:tbl>
      <w:tblPr>
        <w:tblStyle w:val="Table1"/>
        <w:tblW w:w="8294.0" w:type="dxa"/>
        <w:jc w:val="left"/>
        <w:tblInd w:w="-120.0" w:type="dxa"/>
        <w:tblLayout w:type="fixed"/>
        <w:tblLook w:val="0000"/>
      </w:tblPr>
      <w:tblGrid>
        <w:gridCol w:w="8294"/>
        <w:tblGridChange w:id="0">
          <w:tblGrid>
            <w:gridCol w:w="829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spacing w:after="120" w:before="30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30"/>
                <w:szCs w:val="30"/>
                <w:rtl w:val="0"/>
              </w:rPr>
              <w:t xml:space="preserve">核心输入数据源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站点级数据：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涵盖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Amazon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eBay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Shopee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Ozon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等 15+ 全球主流电商平台的流量与费率政策。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竞品级数据：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深度分析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Bafang (八方)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Tianneng (天能)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Shimano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等 15 家头部企业的渠道与 SKU 策略。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社媒与 KOL 数据：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聚合东南亚（ID/TH/VN/PH）100+ 垂直 KOL 与社群资源（如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KOSMIK Indonesia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）。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2.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货品资料梳理与分组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基于行业标准与头部竞品（如 Bafang, Tailg）的产品线，将 SKU 划分为六大核心族群，并明确合规与交付要求。</w:t>
      </w:r>
      <w:r w:rsidDel="00000000" w:rsidR="00000000" w:rsidRPr="00000000">
        <w:rPr>
          <w:rtl w:val="0"/>
        </w:rPr>
      </w:r>
    </w:p>
    <w:tbl>
      <w:tblPr>
        <w:tblStyle w:val="Table2"/>
        <w:tblW w:w="8292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2078"/>
        <w:gridCol w:w="2078"/>
        <w:gridCol w:w="2068"/>
        <w:gridCol w:w="2068"/>
        <w:tblGridChange w:id="0">
          <w:tblGrid>
            <w:gridCol w:w="2078"/>
            <w:gridCol w:w="2078"/>
            <w:gridCol w:w="2068"/>
            <w:gridCol w:w="206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产品族群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核心卖点 (USP)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合规与危险品 (DG)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包装与 MOQ 建议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电池 (Battery)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高能量密度（48V/60V/72V）、BMS 智能保护、品牌电芯（Samsung/LG/Graphene）。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Class 9 DG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(UN3480)。认证：UN38.3,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UL 2271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, EN 15194。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防爆箱包装。ToB MOQ: 10 组。ToC: 单件代发（需海外仓）。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电机 (Motor)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中置高扭矩 (Mid-drive)、轮毂高效能、IP65 防水、低噪音。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一般普货。美国需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UL 2849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系统认证配合。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加厚珍珠棉。ToB MOQ: 50 台。ToC: 改装套件形式发售。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控制器 (Controller)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正弦波静音、FOC 矢量控制、多电压兼容、蓝牙调试。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RoHS, CE, FCC。电子元器件合规。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防静电袋 + 纸盒。MOQ: 100 个。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车架与配件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轻量化铝合金、折叠机构专利、人体工学设计。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ISO 4210 (车架疲劳测试)。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大件异形包装。海运为主。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轮胎刹车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防刺穿、全地形胖胎 (Fat Tire)、液压碟刹制动力。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橡胶制品 REACH 环保标准。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编织袋/纸箱。高频易耗品，适合囤货。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工具耗材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专用拆卸工具、防水接插件、润滑脂。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化学品需 MSDS（润滑脂）。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吸塑挂卡。适合作为凑单品 (Add-on)。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3.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用户画像与区域差异 (ToB/ToC)</w:t>
      </w:r>
      <w:r w:rsidDel="00000000" w:rsidR="00000000" w:rsidRPr="00000000">
        <w:rPr>
          <w:rtl w:val="0"/>
        </w:rPr>
      </w:r>
    </w:p>
    <w:tbl>
      <w:tblPr>
        <w:tblStyle w:val="Table3"/>
        <w:tblW w:w="8294.0" w:type="dxa"/>
        <w:jc w:val="left"/>
        <w:tblLayout w:type="fixed"/>
        <w:tblLook w:val="0000"/>
      </w:tblPr>
      <w:tblGrid>
        <w:gridCol w:w="4147"/>
        <w:gridCol w:w="4147"/>
        <w:tblGridChange w:id="0">
          <w:tblGrid>
            <w:gridCol w:w="4147"/>
            <w:gridCol w:w="414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147.0" w:type="dxa"/>
              <w:jc w:val="left"/>
              <w:tblLayout w:type="fixed"/>
              <w:tblLook w:val="0000"/>
            </w:tblPr>
            <w:tblGrid>
              <w:gridCol w:w="4147"/>
              <w:tblGridChange w:id="0">
                <w:tblGrid>
                  <w:gridCol w:w="41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28">
                  <w:pPr>
                    <w:spacing w:after="120" w:before="30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30"/>
                      <w:szCs w:val="30"/>
                      <w:rtl w:val="0"/>
                    </w:rPr>
                    <w:t xml:space="preserve">ToB 画像 (B2B)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spacing w:after="120" w:before="12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目标客群：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numPr>
                      <w:ilvl w:val="0"/>
                      <w:numId w:val="2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维修店/改装坊：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东南亚街边店，急需通用配件。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numPr>
                      <w:ilvl w:val="0"/>
                      <w:numId w:val="2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中小品牌商：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欧美 Local Brand，寻找 OEM 替代件。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numPr>
                      <w:ilvl w:val="0"/>
                      <w:numId w:val="2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车队运营商：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外卖/物流车队，由于高频损耗需要批量采购耗材。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spacing w:after="120" w:before="12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核心动机：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供应链稳定、账期支持、质量一致性、售后响应。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147.0" w:type="dxa"/>
              <w:jc w:val="left"/>
              <w:tblLayout w:type="fixed"/>
              <w:tblLook w:val="0000"/>
            </w:tblPr>
            <w:tblGrid>
              <w:gridCol w:w="4147"/>
              <w:tblGridChange w:id="0">
                <w:tblGrid>
                  <w:gridCol w:w="41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30">
                  <w:pPr>
                    <w:spacing w:after="120" w:before="30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30"/>
                      <w:szCs w:val="30"/>
                      <w:rtl w:val="0"/>
                    </w:rPr>
                    <w:t xml:space="preserve">ToC 画像 (B2C)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spacing w:after="120" w:before="12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目标客群：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numPr>
                      <w:ilvl w:val="0"/>
                      <w:numId w:val="3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DIY 极客：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欧美/澳洲用户，热衷 “油改电” 或性能升级。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numPr>
                      <w:ilvl w:val="0"/>
                      <w:numId w:val="3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通勤刚需族：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电池老化更换，追求性价比（主要在 SEA/RU）。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numPr>
                      <w:ilvl w:val="0"/>
                      <w:numId w:val="3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外卖骑手：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追求续航和耐用性，价格敏感。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spacing w:after="120" w:before="12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核心动机：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安装教程详尽、发货速度快、参数匹配准确。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20" w:before="30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区域差异化策略</w:t>
      </w:r>
      <w:r w:rsidDel="00000000" w:rsidR="00000000" w:rsidRPr="00000000">
        <w:rPr>
          <w:rtl w:val="0"/>
        </w:rPr>
      </w:r>
    </w:p>
    <w:tbl>
      <w:tblPr>
        <w:tblStyle w:val="Table6"/>
        <w:tblW w:w="8292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2764"/>
        <w:gridCol w:w="2764"/>
        <w:gridCol w:w="2764"/>
        <w:tblGridChange w:id="0">
          <w:tblGrid>
            <w:gridCol w:w="2764"/>
            <w:gridCol w:w="2764"/>
            <w:gridCol w:w="276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区域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市场特征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差异化打法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东南亚 (SEA)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摩托车存量大，"油改电"需求旺盛；价格极度敏感；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Tokopedia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/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Shopee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流量巨大。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主推高性价比通用件；提供本地语言（印尼语/泰语）安装视频；通过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TikTok KOL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引流。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欧美 (EU/US)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法规严格（UL2849/EN15194）；客单价高；DIY 文化成熟。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强调合规认证；提供高端改装套件（中置电机）；建立本地售后/退货仓。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俄罗斯 (RU)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极寒环境对电池要求高；地形复杂；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Wildberries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为主战场。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主打耐低温电池与胖胎；俄语客服与说明书；利用 Ozon/WB 的海外仓服务。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澳洲 (AU)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户外运动属性强；居住分散；物流成本高。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捆绑销售（套件 + 工具）；主推大功率越野电机；优化物流末端派送。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4.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B2B 独立站营销与执行方案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B2B 独立站定位为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“全球专业 E-bike 供应链服务平台”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，核心在于展示制造实力与合规能力。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T+30 基础建设：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完成 Magento/Shopify Plus 搭建。上线核心功能：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T+60 流量导入：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启动 SEM 与垂直平台投放。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T+90 CRM 闭环：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接入 Salesforce/HubSpot。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5.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B2C 独立站营销与执行方案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B2C 独立站定位为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“一站式 DIY 改装与配件商城”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，侧重 SKU 丰富度与转化率。</w:t>
      </w:r>
      <w:r w:rsidDel="00000000" w:rsidR="00000000" w:rsidRPr="00000000">
        <w:rPr>
          <w:rtl w:val="0"/>
        </w:rPr>
      </w:r>
    </w:p>
    <w:tbl>
      <w:tblPr>
        <w:tblStyle w:val="Table7"/>
        <w:tblW w:w="8294.0" w:type="dxa"/>
        <w:jc w:val="left"/>
        <w:tblInd w:w="-120.0" w:type="dxa"/>
        <w:tblLayout w:type="fixed"/>
        <w:tblLook w:val="0000"/>
      </w:tblPr>
      <w:tblGrid>
        <w:gridCol w:w="8294"/>
        <w:tblGridChange w:id="0">
          <w:tblGrid>
            <w:gridCol w:w="829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120" w:before="30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30"/>
                <w:szCs w:val="30"/>
                <w:rtl w:val="0"/>
              </w:rPr>
              <w:t xml:space="preserve">关键执行策略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站点结构：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增加 “车型匹配器” (Shop by Bike Model) 与 “改装套件向导” (Conversion Kit Builder)。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物流与支付：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针对电池产品，接入专门的 DG (Dangerous Goods) 物流通道；集成 Klarna/Afterpay 分期支付以提升高客单转化。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4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社媒联动：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在产品页嵌入 </w:t>
            </w:r>
            <w:hyperlink r:id="rId21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YouTube (EVHOLIC)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和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TikTok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的评测视频，利用 “同款购买” 链接引流。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6.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内容营销方案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构建以 “解决问题” 为核心的内容矩阵，结合 KOSMIK 等社群资源进行精准传播。</w:t>
      </w:r>
      <w:r w:rsidDel="00000000" w:rsidR="00000000" w:rsidRPr="00000000">
        <w:rPr>
          <w:rtl w:val="0"/>
        </w:rPr>
      </w:r>
    </w:p>
    <w:tbl>
      <w:tblPr>
        <w:tblStyle w:val="Table8"/>
        <w:tblW w:w="8292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2078"/>
        <w:gridCol w:w="2078"/>
        <w:gridCol w:w="2068"/>
        <w:gridCol w:w="2068"/>
        <w:tblGridChange w:id="0">
          <w:tblGrid>
            <w:gridCol w:w="2078"/>
            <w:gridCol w:w="2078"/>
            <w:gridCol w:w="2068"/>
            <w:gridCol w:w="206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内容类型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受众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核心主题库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分发渠道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硬核教程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ToC DIYer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《如何将普通山地车改为 E-bike？》《48V vs 60V 电池实测对比》《控制器接线图解》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YouTube, Blog, Fix-it Forum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行业洞察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ToB 采购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《2026 欧盟电池护照新规解读》《锂价波动对供应链的影响》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LinkedIn, Whitepaper, EDM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短视频/直播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大众消费者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暴力测试（防水/防摔）、开箱展示、限时秒杀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TikTok, Shopee Live, IG Reels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30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KOL 合作流程 (SOP)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120" w:before="120" w:line="288" w:lineRule="auto"/>
        <w:ind w:left="36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筛选：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重点关注 SEA 区域高互动账号，如 </w:t>
      </w:r>
      <w:hyperlink r:id="rId23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@saefulaskar (ID)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hyperlink r:id="rId24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EVHOLIC (ID)</w:t>
        </w:r>
      </w:hyperlink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120" w:before="120" w:line="288" w:lineRule="auto"/>
        <w:ind w:left="36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寄样：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提供全套 “改装大礼包”（电机 + 电池 + 工具），要求拍摄完整的 “改装过程” 而非单纯口播。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120" w:before="120" w:line="288" w:lineRule="auto"/>
        <w:ind w:left="36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转化：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设置专属折扣码 (Affiliate Code)，佣金比例设为 5%-10%。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7.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ToB/ToC TOP3 市场与产品规划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基于流量数据与市场潜力，确定以下重点攻坚阵地。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/>
        <w:drawing>
          <wp:inline distB="0" distT="0" distL="0" distR="0">
            <wp:extent cx="5266944" cy="26334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633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9"/>
        <w:tblW w:w="8294.0" w:type="dxa"/>
        <w:jc w:val="left"/>
        <w:tblLayout w:type="fixed"/>
        <w:tblLook w:val="0000"/>
      </w:tblPr>
      <w:tblGrid>
        <w:gridCol w:w="4147"/>
        <w:gridCol w:w="4147"/>
        <w:tblGridChange w:id="0">
          <w:tblGrid>
            <w:gridCol w:w="4147"/>
            <w:gridCol w:w="414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4147.0" w:type="dxa"/>
              <w:jc w:val="left"/>
              <w:tblLayout w:type="fixed"/>
              <w:tblLook w:val="0000"/>
            </w:tblPr>
            <w:tblGrid>
              <w:gridCol w:w="4147"/>
              <w:tblGridChange w:id="0">
                <w:tblGrid>
                  <w:gridCol w:w="41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6C">
                  <w:pPr>
                    <w:spacing w:after="120" w:before="30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30"/>
                      <w:szCs w:val="30"/>
                      <w:rtl w:val="0"/>
                    </w:rPr>
                    <w:t xml:space="preserve">ToB TOP3 规划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6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北美 (US/CA)打法：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针对 Trek/Specialized 售后市场，提供兼容电池与维修件。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主推：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48V/52V 替换电池，Bafang 兼容电机。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numPr>
                      <w:ilvl w:val="0"/>
                      <w:numId w:val="6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欧洲 (DE/UK/NL)打法：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强调 EN15194 合规，主攻中小 E-bike 组装厂。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主推：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中置电机系统，力矩传感器。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numPr>
                      <w:ilvl w:val="0"/>
                      <w:numId w:val="6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东南亚 (ID/VN)打法：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走量批发，对接当地摩托车改装店。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主推：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轮毂电机，铅酸转锂电套件。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4147.0" w:type="dxa"/>
              <w:jc w:val="left"/>
              <w:tblLayout w:type="fixed"/>
              <w:tblLook w:val="0000"/>
            </w:tblPr>
            <w:tblGrid>
              <w:gridCol w:w="4147"/>
              <w:tblGridChange w:id="0">
                <w:tblGrid>
                  <w:gridCol w:w="41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72">
                  <w:pPr>
                    <w:spacing w:after="120" w:before="30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30"/>
                      <w:szCs w:val="30"/>
                      <w:rtl w:val="0"/>
                    </w:rPr>
                    <w:t xml:space="preserve">ToC TOP3 规划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3">
                  <w:pPr>
                    <w:numPr>
                      <w:ilvl w:val="0"/>
                      <w:numId w:val="7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东南亚 (ID/PH/TH)平台：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 </w:t>
                  </w:r>
                  <w:hyperlink r:id="rId26">
                    <w:r w:rsidDel="00000000" w:rsidR="00000000" w:rsidRPr="00000000">
                      <w:rPr>
                        <w:rFonts w:ascii="Arial" w:cs="Arial" w:eastAsia="Arial" w:hAnsi="Arial"/>
                        <w:color w:val="0563c1"/>
                        <w:sz w:val="22"/>
                        <w:szCs w:val="22"/>
                        <w:u w:val="single"/>
                        <w:rtl w:val="0"/>
                      </w:rPr>
                      <w:t xml:space="preserve">Shopee</w:t>
                    </w:r>
                  </w:hyperlink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, </w:t>
                  </w:r>
                  <w:hyperlink r:id="rId27">
                    <w:r w:rsidDel="00000000" w:rsidR="00000000" w:rsidRPr="00000000">
                      <w:rPr>
                        <w:rFonts w:ascii="Arial" w:cs="Arial" w:eastAsia="Arial" w:hAnsi="Arial"/>
                        <w:color w:val="0563c1"/>
                        <w:sz w:val="22"/>
                        <w:szCs w:val="22"/>
                        <w:u w:val="single"/>
                        <w:rtl w:val="0"/>
                      </w:rPr>
                      <w:t xml:space="preserve">Lazada</w:t>
                    </w:r>
                  </w:hyperlink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, TikTok Shop。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策略：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低价引流 + 组合销售（如 “电机 + 控制器” 套餐）。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7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俄罗斯 (RU)平台：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 </w:t>
                  </w:r>
                  <w:hyperlink r:id="rId28">
                    <w:r w:rsidDel="00000000" w:rsidR="00000000" w:rsidRPr="00000000">
                      <w:rPr>
                        <w:rFonts w:ascii="Arial" w:cs="Arial" w:eastAsia="Arial" w:hAnsi="Arial"/>
                        <w:color w:val="0563c1"/>
                        <w:sz w:val="22"/>
                        <w:szCs w:val="22"/>
                        <w:u w:val="single"/>
                        <w:rtl w:val="0"/>
                      </w:rPr>
                      <w:t xml:space="preserve">Wildberries</w:t>
                    </w:r>
                  </w:hyperlink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, Ozon。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策略：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海外仓现货模式，主打 “抗寒” 与 “越野”。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7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美国 (US)平台：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独立站 + Amazon/eBay。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策略：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玩转 “极客社区”，提供高性能改装件 (1000W+)。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8.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执行需求与预算估算</w:t>
      </w:r>
      <w:r w:rsidDel="00000000" w:rsidR="00000000" w:rsidRPr="00000000">
        <w:rPr>
          <w:rtl w:val="0"/>
        </w:rPr>
      </w:r>
    </w:p>
    <w:tbl>
      <w:tblPr>
        <w:tblStyle w:val="Table12"/>
        <w:tblW w:w="8292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2078"/>
        <w:gridCol w:w="2078"/>
        <w:gridCol w:w="2068"/>
        <w:gridCol w:w="2068"/>
        <w:tblGridChange w:id="0">
          <w:tblGrid>
            <w:gridCol w:w="2078"/>
            <w:gridCol w:w="2078"/>
            <w:gridCol w:w="2068"/>
            <w:gridCol w:w="206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模块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核心需求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预估预算 (T+90)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风险与对策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建站与技术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Shopify/Magento 开发、ERP 接口打通、服务器部署。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$15,000 - $30,000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数据安全风险 -&gt; 部署 SSL，合规 GDPR。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内容与媒资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产品拍摄、3D 建模、说明书翻译、KOL 寄样与佣金。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$20,000 - $40,000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KOL 转化低 -&gt; 采用纯佣金模式或 “底薪 +CPS”。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广告投放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Google Ads (SEM), Meta Ads, 平台站内推。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$50,000+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ROI 波动 -&gt; 每日监控，及时关停低效词。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合规与认证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UN38.3, UL2849, CE 认证费用。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$10,000 - $25,000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认证周期长 -&gt; 提前规划，并行申请。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Unicode MS"/>
  <w:font w:name="等线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upperLetter"/>
      <w:lvlText w:val="%4."/>
      <w:lvlJc w:val="left"/>
      <w:pPr>
        <w:ind w:left="1440" w:hanging="360"/>
      </w:pPr>
      <w:rPr/>
    </w:lvl>
    <w:lvl w:ilvl="4">
      <w:start w:val="1"/>
      <w:numFmt w:val="decimal"/>
      <w:lvlText w:val="%5."/>
      <w:lvlJc w:val="left"/>
      <w:pPr>
        <w:ind w:left="1800" w:hanging="360"/>
      </w:pPr>
      <w:rPr/>
    </w:lvl>
    <w:lvl w:ilvl="5">
      <w:start w:val="1"/>
      <w:numFmt w:val="lowerLetter"/>
      <w:lvlText w:val="%6."/>
      <w:lvlJc w:val="left"/>
      <w:pPr>
        <w:ind w:left="2160" w:hanging="360"/>
      </w:pPr>
      <w:rPr/>
    </w:lvl>
    <w:lvl w:ilvl="6">
      <w:start w:val="1"/>
      <w:numFmt w:val="lowerRoman"/>
      <w:lvlText w:val="%7."/>
      <w:lvlJc w:val="left"/>
      <w:pPr>
        <w:ind w:left="2520" w:hanging="360"/>
      </w:pPr>
      <w:rPr/>
    </w:lvl>
    <w:lvl w:ilvl="7">
      <w:start w:val="1"/>
      <w:numFmt w:val="upperLetter"/>
      <w:lvlText w:val="%8."/>
      <w:lvlJc w:val="left"/>
      <w:pPr>
        <w:ind w:left="2880" w:hanging="360"/>
      </w:pPr>
      <w:rPr/>
    </w:lvl>
    <w:lvl w:ilvl="8">
      <w:start w:val="1"/>
      <w:numFmt w:val="decimal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upperLetter"/>
      <w:lvlText w:val="%4."/>
      <w:lvlJc w:val="left"/>
      <w:pPr>
        <w:ind w:left="1440" w:hanging="360"/>
      </w:pPr>
      <w:rPr/>
    </w:lvl>
    <w:lvl w:ilvl="4">
      <w:start w:val="1"/>
      <w:numFmt w:val="decimal"/>
      <w:lvlText w:val="%5."/>
      <w:lvlJc w:val="left"/>
      <w:pPr>
        <w:ind w:left="1800" w:hanging="360"/>
      </w:pPr>
      <w:rPr/>
    </w:lvl>
    <w:lvl w:ilvl="5">
      <w:start w:val="1"/>
      <w:numFmt w:val="lowerLetter"/>
      <w:lvlText w:val="%6."/>
      <w:lvlJc w:val="left"/>
      <w:pPr>
        <w:ind w:left="2160" w:hanging="360"/>
      </w:pPr>
      <w:rPr/>
    </w:lvl>
    <w:lvl w:ilvl="6">
      <w:start w:val="1"/>
      <w:numFmt w:val="lowerRoman"/>
      <w:lvlText w:val="%7."/>
      <w:lvlJc w:val="left"/>
      <w:pPr>
        <w:ind w:left="2520" w:hanging="360"/>
      </w:pPr>
      <w:rPr/>
    </w:lvl>
    <w:lvl w:ilvl="7">
      <w:start w:val="1"/>
      <w:numFmt w:val="upperLetter"/>
      <w:lvlText w:val="%8."/>
      <w:lvlJc w:val="left"/>
      <w:pPr>
        <w:ind w:left="2880" w:hanging="360"/>
      </w:pPr>
      <w:rPr/>
    </w:lvl>
    <w:lvl w:ilvl="8">
      <w:start w:val="1"/>
      <w:numFmt w:val="decimal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wildberries.ru/" TargetMode="External"/><Relationship Id="rId22" Type="http://schemas.openxmlformats.org/officeDocument/2006/relationships/hyperlink" Target="https://www.tiktok.com/@saefulaskar" TargetMode="External"/><Relationship Id="rId21" Type="http://schemas.openxmlformats.org/officeDocument/2006/relationships/hyperlink" Target="https://www.youtube.com/@EVHOLIC" TargetMode="External"/><Relationship Id="rId24" Type="http://schemas.openxmlformats.org/officeDocument/2006/relationships/hyperlink" Target="https://www.youtube.com/@EVHOLIC" TargetMode="External"/><Relationship Id="rId23" Type="http://schemas.openxmlformats.org/officeDocument/2006/relationships/hyperlink" Target="https://www.tiktok.com/@saefulask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opee.ph" TargetMode="External"/><Relationship Id="rId26" Type="http://schemas.openxmlformats.org/officeDocument/2006/relationships/hyperlink" Target="https://shopee.ph" TargetMode="External"/><Relationship Id="rId25" Type="http://schemas.openxmlformats.org/officeDocument/2006/relationships/image" Target="media/image1.png"/><Relationship Id="rId28" Type="http://schemas.openxmlformats.org/officeDocument/2006/relationships/hyperlink" Target="https://www.wildberries.ru/" TargetMode="External"/><Relationship Id="rId27" Type="http://schemas.openxmlformats.org/officeDocument/2006/relationships/hyperlink" Target="https://www.lazada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eishu.cn" TargetMode="External"/><Relationship Id="rId7" Type="http://schemas.openxmlformats.org/officeDocument/2006/relationships/hyperlink" Target="https://www.amazon.com" TargetMode="External"/><Relationship Id="rId8" Type="http://schemas.openxmlformats.org/officeDocument/2006/relationships/hyperlink" Target="https://www.ebay.com" TargetMode="External"/><Relationship Id="rId11" Type="http://schemas.openxmlformats.org/officeDocument/2006/relationships/hyperlink" Target="https://www.bafang-e.com/" TargetMode="External"/><Relationship Id="rId10" Type="http://schemas.openxmlformats.org/officeDocument/2006/relationships/hyperlink" Target="https://www.ozon.ru/" TargetMode="External"/><Relationship Id="rId13" Type="http://schemas.openxmlformats.org/officeDocument/2006/relationships/hyperlink" Target="https://www.shimano.com" TargetMode="External"/><Relationship Id="rId12" Type="http://schemas.openxmlformats.org/officeDocument/2006/relationships/hyperlink" Target="https://www.tiannengglobal.com" TargetMode="External"/><Relationship Id="rId15" Type="http://schemas.openxmlformats.org/officeDocument/2006/relationships/hyperlink" Target="https://www.ul.com" TargetMode="External"/><Relationship Id="rId14" Type="http://schemas.openxmlformats.org/officeDocument/2006/relationships/hyperlink" Target="https://www.facebook.com/groups/kosmik.indonesia/" TargetMode="External"/><Relationship Id="rId17" Type="http://schemas.openxmlformats.org/officeDocument/2006/relationships/hyperlink" Target="https://www.tokopedia.com/" TargetMode="External"/><Relationship Id="rId16" Type="http://schemas.openxmlformats.org/officeDocument/2006/relationships/hyperlink" Target="https://www.ul.com" TargetMode="External"/><Relationship Id="rId19" Type="http://schemas.openxmlformats.org/officeDocument/2006/relationships/hyperlink" Target="https://www.tiktok.com/@saefulaskar" TargetMode="External"/><Relationship Id="rId18" Type="http://schemas.openxmlformats.org/officeDocument/2006/relationships/hyperlink" Target="https://shopee.p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