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88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50"/>
          <w:szCs w:val="50"/>
          <w:rtl w:val="0"/>
        </w:rPr>
        <w:t xml:space="preserve">东南亚 E-Bike 市场策略与自动化运营方案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88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cbd5e1"/>
          <w:sz w:val="22"/>
          <w:szCs w:val="22"/>
          <w:rtl w:val="0"/>
        </w:rPr>
        <w:t xml:space="preserve">基于数据驱动的六国市场突围与 AI 内容自运行体系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1.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项目概述与资料衔接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本方案聚焦于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东南亚六国 (SEA-6)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的 E-Bike 零部件市场渗透，旨在通过精细化的渠道策略与自动化内容分发，建立可持续的流量闭环。方案深度整合了现有的站点级数据、竞品表现及 KOL 资源库。</w:t>
      </w:r>
      <w:r w:rsidDel="00000000" w:rsidR="00000000" w:rsidRPr="00000000">
        <w:rPr>
          <w:rtl w:val="0"/>
        </w:rPr>
      </w:r>
    </w:p>
    <w:tbl>
      <w:tblPr>
        <w:tblStyle w:val="Table1"/>
        <w:tblW w:w="8294.0" w:type="dxa"/>
        <w:jc w:val="left"/>
        <w:tblInd w:w="-120.0" w:type="dxa"/>
        <w:tblLayout w:type="fixed"/>
        <w:tblLook w:val="0000"/>
      </w:tblPr>
      <w:tblGrid>
        <w:gridCol w:w="8294"/>
        <w:tblGridChange w:id="0">
          <w:tblGrid>
            <w:gridCol w:w="829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after="120" w:before="30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30"/>
                <w:szCs w:val="30"/>
                <w:rtl w:val="0"/>
              </w:rPr>
              <w:t xml:space="preserve">交付范围与数据基准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覆盖国家：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印度尼西亚 (ID), 泰国 (TH), 越南 (VN), 马来西亚 (MY), 菲律宾 (PH), 新加坡 (SG)。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核心对象：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在线平台：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Shopee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Lazada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Tokopedia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。2.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直播渠道：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TikTok Shop (SEA)。3.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线下渠道：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摩配改装店 (Bengkel) 与车队运营商。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资料衔接：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数据源于 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shd w:fill="f5f5f5" w:val="clear"/>
                <w:rtl w:val="0"/>
              </w:rPr>
              <w:t xml:space="preserve">ebike_parts_ecommerce_global_2026.csv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(市场数据) 与 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shd w:fill="f5f5f5" w:val="clear"/>
                <w:rtl w:val="0"/>
              </w:rPr>
              <w:t xml:space="preserve">sea_social_kol_ebike.csv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(KOL 库)。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2.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东南亚六国市场策略 (Online/Live/Offline)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基于各国政策法规与用户偏好，制定差异化的 SKU 布局与定价策略。</w:t>
      </w:r>
      <w:r w:rsidDel="00000000" w:rsidR="00000000" w:rsidRPr="00000000">
        <w:rPr>
          <w:rtl w:val="0"/>
        </w:rPr>
      </w:r>
    </w:p>
    <w:tbl>
      <w:tblPr>
        <w:tblStyle w:val="Table2"/>
        <w:tblW w:w="8290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1660"/>
        <w:gridCol w:w="1660"/>
        <w:gridCol w:w="1660"/>
        <w:gridCol w:w="1660"/>
        <w:gridCol w:w="1650"/>
        <w:tblGridChange w:id="0">
          <w:tblGrid>
            <w:gridCol w:w="1660"/>
            <w:gridCol w:w="1660"/>
            <w:gridCol w:w="1660"/>
            <w:gridCol w:w="166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国家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平台与费率要点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首推 SKU 与定价 (USD)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合规与物流 (DG)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月度 KPI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印尼 (ID)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120" w:before="120" w:line="288" w:lineRule="auto"/>
              <w:rPr/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Tokopedia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(3.1%-6.5%),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Bukalapak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。Power Merchant 需缴纳保证金。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改装刚需：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- 48V 铅酸转锂电套件 ($80-$120)- 轮毂电机 500W ($50-$80)- 价格敏感度：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极高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锂电属 DG (Dangerous Goods)。岛间运输需走 JTR (卡车/海运)。进口需 SNI 认证 (部分配件)。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GMV: $50k复购率: 20%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越南 (VN)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after="120" w:before="120" w:line="288" w:lineRule="auto"/>
              <w:rPr/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Lazada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, Shopee, TikTok Shop。直播转化率全区最高。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存量升级：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Vinfast 兼容电池包 ($150+)- 减震器与刹车升级件 ($15-$30)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陆运专线发达 (广西凭祥口岸)。电池需 UN38.3 报告。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GMV: $35k直播场观: 5k+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泰国 (TH)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Shopee, Lazada。社交电商 (Line/FB) 占比高。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旅游/租赁：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大功率电机 (1000W+) ($200+)- 宽胎 (Fat Tire) 配件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TISI 强制认证 (部分电子件)。海运时效 10-15 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GMV: $40kB2B 线索: 50+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马来 (MY)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Shopee MY。华人圈层渗透率高。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通勤/爱好：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中置电机套件 ($300+)- DIY 工具箱 ($40)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SIRIM 认证建议（非强制但加分）。电池空运严格受限。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GMV: $25kAOV: $100+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菲律宾 (PH)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after="120" w:before="120" w:line="288" w:lineRule="auto"/>
              <w:rPr/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Shopee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, Lazada。COD (货到付款) 占比 &gt; 70%。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交通刚需：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E-Trike 维修件 (控制器/电机)- 太阳能充电板配件 ($20-$50)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岛屿众多，末端派送慢。需预备 5% 拒收率损耗。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GMV: $30k签收率: &gt;85%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新加坡 (SG)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Lazada, Qoo10, Amazon SG。高客单，重服务。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合规高端：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LTA 认证整车配件 ($500+)- 品牌锂电池 (UL2271) ($300+)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LTA PAB 标准：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严禁销售改装提速套件。必须符合 EN15194。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GMV: $20k投诉率: &lt;1%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3.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中国出海同行优/劣表现对比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通过对比头部品牌与低端白牌在东南亚的表现，提炼 “可复制” 的成功要素与 “需规避” 的风险点。</w:t>
      </w:r>
      <w:r w:rsidDel="00000000" w:rsidR="00000000" w:rsidRPr="00000000">
        <w:rPr>
          <w:rtl w:val="0"/>
        </w:rPr>
      </w:r>
    </w:p>
    <w:tbl>
      <w:tblPr>
        <w:tblStyle w:val="Table3"/>
        <w:tblW w:w="8294.0" w:type="dxa"/>
        <w:jc w:val="left"/>
        <w:tblLayout w:type="fixed"/>
        <w:tblLook w:val="0000"/>
      </w:tblPr>
      <w:tblGrid>
        <w:gridCol w:w="4147"/>
        <w:gridCol w:w="4147"/>
        <w:tblGridChange w:id="0">
          <w:tblGrid>
            <w:gridCol w:w="4147"/>
            <w:gridCol w:w="414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147.0" w:type="dxa"/>
              <w:jc w:val="left"/>
              <w:tblLayout w:type="fixed"/>
              <w:tblLook w:val="0000"/>
            </w:tblPr>
            <w:tblGrid>
              <w:gridCol w:w="4147"/>
              <w:tblGridChange w:id="0">
                <w:tblGrid>
                  <w:gridCol w:w="41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31">
                  <w:pPr>
                    <w:spacing w:after="120" w:before="30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30"/>
                      <w:szCs w:val="30"/>
                      <w:rtl w:val="0"/>
                    </w:rPr>
                    <w:t xml:space="preserve">红榜：行业标杆 (Success Cases)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numPr>
                      <w:ilvl w:val="0"/>
                      <w:numId w:val="2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hyperlink r:id="rId13"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color w:val="0563c1"/>
                        <w:sz w:val="22"/>
                        <w:szCs w:val="22"/>
                        <w:u w:val="single"/>
                        <w:rtl w:val="0"/>
                      </w:rPr>
                      <w:t xml:space="preserve">爱玛 (AIMA)</w:t>
                    </w:r>
                  </w:hyperlink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优点：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线下经销网络深厚，提供 “整车 + 售后” 一站式服务。-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可复制：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本地化维修中心，解决用户焦虑。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numPr>
                      <w:ilvl w:val="0"/>
                      <w:numId w:val="2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hyperlink r:id="rId14"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color w:val="0563c1"/>
                        <w:sz w:val="22"/>
                        <w:szCs w:val="22"/>
                        <w:u w:val="single"/>
                        <w:rtl w:val="0"/>
                      </w:rPr>
                      <w:t xml:space="preserve">八方 (Bafang)</w:t>
                    </w:r>
                  </w:hyperlink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优点：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这里的技术权威，DIY 社区口碑极佳。-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可复制：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详尽的视频教程库，降低安装门槛。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numPr>
                      <w:ilvl w:val="0"/>
                      <w:numId w:val="2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hyperlink r:id="rId15"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color w:val="0563c1"/>
                        <w:sz w:val="22"/>
                        <w:szCs w:val="22"/>
                        <w:u w:val="single"/>
                        <w:rtl w:val="0"/>
                      </w:rPr>
                      <w:t xml:space="preserve">天能 (Tianneng)</w:t>
                    </w:r>
                  </w:hyperlink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优点：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供应链成本控制极致，Shopee 价格屠夫。-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可复制：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高频易耗品（电池）的海外仓囤货策略。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147.0" w:type="dxa"/>
              <w:jc w:val="left"/>
              <w:tblLayout w:type="fixed"/>
              <w:tblLook w:val="0000"/>
            </w:tblPr>
            <w:tblGrid>
              <w:gridCol w:w="4147"/>
              <w:tblGridChange w:id="0">
                <w:tblGrid>
                  <w:gridCol w:w="414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37">
                  <w:pPr>
                    <w:spacing w:after="120" w:before="300" w:line="288" w:lineRule="auto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30"/>
                      <w:szCs w:val="30"/>
                      <w:rtl w:val="0"/>
                    </w:rPr>
                    <w:t xml:space="preserve">黑榜：典型教训 (Failure Modes)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numPr>
                      <w:ilvl w:val="0"/>
                      <w:numId w:val="3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虚标参数的白牌 (Spec Cheaters)：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表现：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350W 电机贴标 1000W，电池容量虚标 50%。后果：Shopee 店铺评分 &lt; 3.0，遭遇封店。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numPr>
                      <w:ilvl w:val="0"/>
                      <w:numId w:val="3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违规物流玩家 (DG Violators)：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表现：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瞒报电池为空运普货。后果：货物被海关扣押销毁，罚款 &gt;$10k。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numPr>
                      <w:ilvl w:val="0"/>
                      <w:numId w:val="3"/>
                    </w:numPr>
                    <w:spacing w:after="120" w:before="120" w:line="288" w:lineRule="auto"/>
                    <w:ind w:left="360" w:hanging="360"/>
                    <w:jc w:val="left"/>
                    <w:rPr/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纯铺货模式 (Dropshippers)：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2"/>
                      <w:szCs w:val="22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表现：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color w:val="000000"/>
                      <w:sz w:val="22"/>
                      <w:szCs w:val="22"/>
                      <w:rtl w:val="0"/>
                    </w:rPr>
                    <w:t xml:space="preserve"> 无库存，发货时效 &gt;15 天。后果：在东南亚高拒收率环境下，退货亏损严重。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4.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KOL 表现与预计销售模型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精选 SEA 区域高转化潜力 KOL，通过 “寄样测评 + 佣金分销” 模式驱动销量。</w:t>
      </w:r>
      <w:r w:rsidDel="00000000" w:rsidR="00000000" w:rsidRPr="00000000">
        <w:rPr>
          <w:rtl w:val="0"/>
        </w:rPr>
      </w:r>
    </w:p>
    <w:tbl>
      <w:tblPr>
        <w:tblStyle w:val="Table6"/>
        <w:tblW w:w="8290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1660"/>
        <w:gridCol w:w="1660"/>
        <w:gridCol w:w="1660"/>
        <w:gridCol w:w="1660"/>
        <w:gridCol w:w="1650"/>
        <w:tblGridChange w:id="0">
          <w:tblGrid>
            <w:gridCol w:w="1660"/>
            <w:gridCol w:w="1660"/>
            <w:gridCol w:w="1660"/>
            <w:gridCol w:w="1660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国家/平台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KOL 账号信息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核心数据 (Fans/Views)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预计单场销售 (USD)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推荐合作形式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 / TikTok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120" w:before="120" w:line="288" w:lineRule="auto"/>
              <w:rPr/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@saefulaskar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Niche: 改装教程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Fans: 67.5kAvg Views: 150k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$500 - $800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(CVR 1.2% * ASP $40)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Affiliate (5%) +产品寄样 (控制器)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TH / TikTok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after="120" w:before="120" w:line="288" w:lineRule="auto"/>
              <w:rPr/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@ebike4you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Niche: 三轮/配件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Fans: 113kAvg Views: 150k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$500 - $1,000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直播带货 (Live)专场折扣码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VN / TikTok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pacing w:after="120" w:before="120" w:line="288" w:lineRule="auto"/>
              <w:rPr/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@xediendotienthinh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Niche: 电池/电机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Fans: 118kAvg Views: 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$200 - 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短视频挂车(Video Shopping)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ID / YouTube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spacing w:after="120" w:before="120" w:line="288" w:lineRule="auto"/>
              <w:rPr/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EVHOLIC</w:t>
              </w:r>
            </w:hyperlink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Niche: 深度评测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Fans: 92kAvg Views: 10k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长尾流量 &gt;$2k/月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SEO 植入(永久外链)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30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30"/>
                <w:szCs w:val="30"/>
                <w:rtl w:val="0"/>
              </w:rPr>
              <w:t xml:space="preserve">预计销售数据模型 (Sales Estimation Model)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e3a8a"/>
                <w:sz w:val="22"/>
                <w:szCs w:val="22"/>
                <w:rtl w:val="0"/>
              </w:rPr>
              <w:t xml:space="preserve">Total Sales = (Online GMV × 份额) + (Offline 门店数 × 单店产出) + (Live 场观 × GPM)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在线 GMV：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m:oMath>
              <m:r>
                <w:rPr/>
                <m:t xml:space="preserve">Traffic</m:t>
              </m:r>
              <m:r>
                <w:rPr/>
                <m:t>×</m:t>
              </m:r>
              <m:r>
                <w:rPr/>
                <m:t xml:space="preserve">CVR</m:t>
              </m:r>
              <m:r>
                <w:rPr/>
                <m:t>×</m:t>
              </m:r>
              <m:r>
                <w:rPr/>
                <m:t xml:space="preserve">ASP</m:t>
              </m:r>
            </m:oMath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。印尼 Shopee 类目 CVR 基准设为 1.5%。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直播 GMV：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  <m:oMath>
              <m:r>
                <w:rPr/>
                <m:t xml:space="preserve">Views</m:t>
              </m:r>
              <m:r>
                <w:rPr/>
                <m:t>×</m:t>
              </m:r>
              <m:r>
                <w:rPr/>
                <m:t xml:space="preserve">Engagement</m:t>
              </m:r>
              <m:r>
                <w:rPr/>
                <m:t>×</m:t>
              </m:r>
              <m:r>
                <w:rPr/>
                <m:t xml:space="preserve">Conversion</m:t>
              </m:r>
            </m:oMath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。TikTok 直播转化率按 0.8% 估算。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spacing w:after="120" w:before="120" w:line="288" w:lineRule="auto"/>
              <w:ind w:left="360" w:hanging="36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数据回填：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计算结果回填至 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shd w:fill="f5f5f5" w:val="clear"/>
                <w:rtl w:val="0"/>
              </w:rPr>
              <w:t xml:space="preserve">ebike_parts_ecommerce_global_2026.csv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的 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2"/>
                <w:szCs w:val="22"/>
                <w:shd w:fill="f5f5f5" w:val="clear"/>
                <w:rtl w:val="0"/>
              </w:rPr>
              <w:t xml:space="preserve">company_sales_online_usd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 字段。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5.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内容自运行 Agent 方案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为降低人工运营成本，设计 “内容自运行 Agent” 接管 80% 的标准化内容生产与分发任务。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88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This content is only supported in AnyGen 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输入层 (Trigger)：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监测到 </w:t>
      </w:r>
      <w:hyperlink r:id="rId20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TikTok</w:t>
        </w:r>
      </w:hyperlink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 上的 "E-bike mod" 标签热度上升，或 ERP 上架新 SKU。工具：Apify (爬虫), Shopify Webhook。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生成层 (Generation)：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调用 GPT-4 撰写 "印尼语/泰语" 脚本；调用 Midjourney 生成封面图。工具：OpenAI API, Midjourney, CapCut 剪映云剪。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分发层 (Distribution)：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通过 RPA 或 API 自动发布到 5 个社交平台。工具：Make.com (Integromat), Buffer。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88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优化层 (Optimization)：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2"/>
          <w:szCs w:val="22"/>
          <w:rtl w:val="0"/>
        </w:rPr>
        <w:t xml:space="preserve">若 24h 播放 &lt; 500，自动更换标题/封面重发。工具：Google Analytics, TikTok Creator Data。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40" w:before="380" w:line="288" w:lineRule="auto"/>
        <w:rPr/>
      </w:pPr>
      <w:r w:rsidDel="00000000" w:rsidR="00000000" w:rsidRPr="00000000">
        <w:rPr>
          <w:rFonts w:ascii="等线" w:cs="等线" w:eastAsia="等线" w:hAnsi="等线"/>
          <w:b w:val="1"/>
          <w:bCs w:val="1"/>
          <w:color w:val="2355ef"/>
          <w:sz w:val="36"/>
          <w:szCs w:val="36"/>
          <w:rtl w:val="0"/>
        </w:rPr>
        <w:t xml:space="preserve">6.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6"/>
          <w:szCs w:val="36"/>
          <w:rtl w:val="0"/>
        </w:rPr>
        <w:t xml:space="preserve">实施路线图与阶段 KPI</w:t>
      </w:r>
      <w:r w:rsidDel="00000000" w:rsidR="00000000" w:rsidRPr="00000000">
        <w:rPr>
          <w:rtl w:val="0"/>
        </w:rPr>
      </w:r>
    </w:p>
    <w:tbl>
      <w:tblPr>
        <w:tblStyle w:val="Table7"/>
        <w:tblW w:w="8292.0" w:type="dxa"/>
        <w:jc w:val="left"/>
        <w:tblInd w:w="-120.0" w:type="dxa"/>
        <w:tblBorders>
          <w:top w:color="bbbfc4" w:space="0" w:sz="4" w:val="single"/>
          <w:left w:color="bbbfc4" w:space="0" w:sz="4" w:val="single"/>
          <w:bottom w:color="bbbfc4" w:space="0" w:sz="4" w:val="single"/>
          <w:right w:color="bbbfc4" w:space="0" w:sz="4" w:val="single"/>
          <w:insideH w:color="bbbfc4" w:space="0" w:sz="4" w:val="single"/>
          <w:insideV w:color="bbbfc4" w:space="0" w:sz="4" w:val="single"/>
        </w:tblBorders>
        <w:tblLayout w:type="fixed"/>
        <w:tblLook w:val="0000"/>
      </w:tblPr>
      <w:tblGrid>
        <w:gridCol w:w="2078"/>
        <w:gridCol w:w="2078"/>
        <w:gridCol w:w="2068"/>
        <w:gridCol w:w="2068"/>
        <w:tblGridChange w:id="0">
          <w:tblGrid>
            <w:gridCol w:w="2078"/>
            <w:gridCol w:w="2078"/>
            <w:gridCol w:w="2068"/>
            <w:gridCol w:w="206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阶段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关键动作 (Milestones)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团队分工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预算与 KPI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T+30 (基建期)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完成 Shopee/Lazada 六国开店。- 签约 5 位头部 KOL (Saeful 等)。- Agent 跑通 "图文分发" 流程。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渠道经理 (开店),技术 (API 对接)。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预算: $10kKPI: 店铺访客 &gt;10k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T+60 (放量期)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启动 TikTok 直播 (日播 4h)。- 海外仓备货电池 (DG 通道打通)。- Agent 覆盖短视频生成。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主播 (印尼语/泰语),仓配 (物流)。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预算: $30kKPI: 月 GMV &gt;$50k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T+90 (优化期)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- B2B 经销商网络覆盖 50 家门店。- 推出 "品牌联名款" 配件。- 全面自动化归因分析。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B2B 销售 (地推),数据分析师。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spacing w:after="120" w:before="120" w:line="288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预算: $20kKPI: B2B 订单占比 &gt;40%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Unicode MS"/>
  <w:font w:name="Consolas"/>
  <w:font w:name="等线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♦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○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♦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tiktok.com" TargetMode="External"/><Relationship Id="rId11" Type="http://schemas.openxmlformats.org/officeDocument/2006/relationships/hyperlink" Target="https://www.lazada.com" TargetMode="External"/><Relationship Id="rId10" Type="http://schemas.openxmlformats.org/officeDocument/2006/relationships/hyperlink" Target="https://www.bukalapak.com" TargetMode="External"/><Relationship Id="rId13" Type="http://schemas.openxmlformats.org/officeDocument/2006/relationships/hyperlink" Target="https://www.aimatech.com/" TargetMode="External"/><Relationship Id="rId12" Type="http://schemas.openxmlformats.org/officeDocument/2006/relationships/hyperlink" Target="https://shopee.p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okopedia.com/" TargetMode="External"/><Relationship Id="rId15" Type="http://schemas.openxmlformats.org/officeDocument/2006/relationships/hyperlink" Target="https://www.tiannengglobal.com" TargetMode="External"/><Relationship Id="rId14" Type="http://schemas.openxmlformats.org/officeDocument/2006/relationships/hyperlink" Target="https://www.bafang-e.com/" TargetMode="External"/><Relationship Id="rId17" Type="http://schemas.openxmlformats.org/officeDocument/2006/relationships/hyperlink" Target="https://www.tiktok.com/@ebike4you" TargetMode="External"/><Relationship Id="rId16" Type="http://schemas.openxmlformats.org/officeDocument/2006/relationships/hyperlink" Target="https://www.tiktok.com/@saefulaskar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@EVHOLIC" TargetMode="External"/><Relationship Id="rId6" Type="http://schemas.openxmlformats.org/officeDocument/2006/relationships/hyperlink" Target="https://www.shopee.ph" TargetMode="External"/><Relationship Id="rId18" Type="http://schemas.openxmlformats.org/officeDocument/2006/relationships/hyperlink" Target="https://www.tiktok.com/@xediendotienthinh" TargetMode="External"/><Relationship Id="rId7" Type="http://schemas.openxmlformats.org/officeDocument/2006/relationships/hyperlink" Target="https://www.lazada.com" TargetMode="External"/><Relationship Id="rId8" Type="http://schemas.openxmlformats.org/officeDocument/2006/relationships/hyperlink" Target="https://www.tokopedi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